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501" w:rsidRPr="001E6CC5" w:rsidRDefault="000A7501" w:rsidP="000A7501">
      <w:pPr>
        <w:spacing w:after="0" w:line="240" w:lineRule="atLeast"/>
        <w:ind w:left="0" w:right="-1"/>
        <w:jc w:val="center"/>
        <w:rPr>
          <w:rFonts w:ascii="Times New Roman" w:hAnsi="Times New Roman" w:cs="Times New Roman"/>
        </w:rPr>
      </w:pPr>
      <w:r w:rsidRPr="001E6CC5">
        <w:rPr>
          <w:rFonts w:ascii="Times New Roman" w:hAnsi="Times New Roman" w:cs="Times New Roman"/>
        </w:rPr>
        <w:t>G 35 Leggiamo i Vangeli 3</w:t>
      </w:r>
    </w:p>
    <w:p w:rsidR="000A7501" w:rsidRPr="001E6CC5" w:rsidRDefault="000A7501" w:rsidP="000A7501">
      <w:pPr>
        <w:spacing w:after="0" w:line="240" w:lineRule="atLeast"/>
        <w:ind w:left="0" w:right="-1"/>
        <w:jc w:val="center"/>
        <w:rPr>
          <w:rFonts w:ascii="Times New Roman" w:hAnsi="Times New Roman" w:cs="Times New Roman"/>
        </w:rPr>
      </w:pPr>
    </w:p>
    <w:p w:rsidR="000A7501" w:rsidRPr="001E6CC5" w:rsidRDefault="000A7501" w:rsidP="000A7501">
      <w:pPr>
        <w:spacing w:after="0" w:line="240" w:lineRule="atLeast"/>
        <w:ind w:left="0" w:right="-1"/>
        <w:jc w:val="center"/>
        <w:rPr>
          <w:rFonts w:ascii="Times New Roman" w:hAnsi="Times New Roman" w:cs="Times New Roman"/>
        </w:rPr>
      </w:pPr>
    </w:p>
    <w:p w:rsidR="000A7501" w:rsidRPr="001E6CC5" w:rsidRDefault="000A7501" w:rsidP="000A7501">
      <w:pPr>
        <w:spacing w:after="0" w:line="240" w:lineRule="atLeast"/>
        <w:ind w:left="0" w:right="-1"/>
        <w:jc w:val="center"/>
        <w:rPr>
          <w:rFonts w:ascii="Times New Roman" w:hAnsi="Times New Roman" w:cs="Times New Roman"/>
        </w:rPr>
      </w:pPr>
    </w:p>
    <w:p w:rsidR="000A7501" w:rsidRPr="001E6CC5" w:rsidRDefault="000A7501" w:rsidP="000A7501">
      <w:pPr>
        <w:spacing w:after="0" w:line="240" w:lineRule="atLeast"/>
        <w:ind w:left="0" w:right="-1"/>
        <w:jc w:val="center"/>
        <w:rPr>
          <w:rFonts w:ascii="Times New Roman" w:hAnsi="Times New Roman" w:cs="Times New Roman"/>
        </w:rPr>
      </w:pPr>
    </w:p>
    <w:p w:rsidR="000A7501" w:rsidRPr="001E6CC5" w:rsidRDefault="000A7501" w:rsidP="000A7501">
      <w:pPr>
        <w:spacing w:after="0" w:line="240" w:lineRule="atLeast"/>
        <w:ind w:left="0" w:right="-1"/>
        <w:jc w:val="center"/>
        <w:rPr>
          <w:rFonts w:ascii="Times New Roman" w:hAnsi="Times New Roman" w:cs="Times New Roman"/>
        </w:rPr>
      </w:pPr>
    </w:p>
    <w:p w:rsidR="000A7501" w:rsidRPr="001E6CC5" w:rsidRDefault="000A7501" w:rsidP="000A7501">
      <w:pPr>
        <w:spacing w:after="0" w:line="240" w:lineRule="atLeast"/>
        <w:ind w:left="0" w:right="-1"/>
        <w:jc w:val="center"/>
        <w:rPr>
          <w:rFonts w:ascii="Times New Roman" w:hAnsi="Times New Roman" w:cs="Times New Roman"/>
        </w:rPr>
      </w:pPr>
    </w:p>
    <w:p w:rsidR="000A7501" w:rsidRPr="001E6CC5" w:rsidRDefault="000A7501" w:rsidP="000A7501">
      <w:pPr>
        <w:spacing w:after="0" w:line="240" w:lineRule="atLeast"/>
        <w:ind w:left="0" w:right="-1"/>
        <w:jc w:val="center"/>
        <w:rPr>
          <w:rFonts w:ascii="Times New Roman" w:hAnsi="Times New Roman" w:cs="Times New Roman"/>
          <w:b/>
        </w:rPr>
      </w:pPr>
      <w:r w:rsidRPr="001E6CC5">
        <w:rPr>
          <w:rFonts w:ascii="Times New Roman" w:hAnsi="Times New Roman" w:cs="Times New Roman"/>
          <w:b/>
        </w:rPr>
        <w:t>I RACCONTI DELLA RISURREZIONE</w:t>
      </w:r>
    </w:p>
    <w:p w:rsidR="000A7501" w:rsidRPr="001E6CC5" w:rsidRDefault="000A7501" w:rsidP="000A7501">
      <w:pPr>
        <w:spacing w:after="0" w:line="240" w:lineRule="atLeast"/>
        <w:ind w:left="0" w:right="-1"/>
        <w:jc w:val="right"/>
        <w:rPr>
          <w:rFonts w:ascii="Times New Roman" w:hAnsi="Times New Roman" w:cs="Times New Roman"/>
        </w:rPr>
      </w:pPr>
      <w:r w:rsidRPr="001E6CC5">
        <w:rPr>
          <w:rFonts w:ascii="Times New Roman" w:hAnsi="Times New Roman" w:cs="Times New Roman"/>
        </w:rPr>
        <w:t>Antonio Turi (Comunità di Genova)</w:t>
      </w:r>
    </w:p>
    <w:p w:rsidR="000A7501" w:rsidRPr="001E6CC5" w:rsidRDefault="000A7501" w:rsidP="000A7501">
      <w:pPr>
        <w:spacing w:after="0" w:line="240" w:lineRule="atLeast"/>
        <w:ind w:left="0" w:right="-1"/>
        <w:jc w:val="left"/>
        <w:rPr>
          <w:rFonts w:ascii="Times New Roman" w:hAnsi="Times New Roman" w:cs="Times New Roman"/>
          <w:b/>
        </w:rPr>
      </w:pPr>
      <w:r w:rsidRPr="001E6CC5">
        <w:rPr>
          <w:rFonts w:ascii="Times New Roman" w:hAnsi="Times New Roman" w:cs="Times New Roman"/>
          <w:b/>
        </w:rPr>
        <w:t>Vangelo secondo Giovanni Capitolo 20</w:t>
      </w:r>
    </w:p>
    <w:p w:rsidR="000A7501" w:rsidRPr="001E6CC5" w:rsidRDefault="001E6CC5" w:rsidP="000A7501">
      <w:pPr>
        <w:spacing w:after="0" w:line="240" w:lineRule="atLeast"/>
        <w:ind w:left="0" w:right="-1"/>
        <w:jc w:val="left"/>
        <w:rPr>
          <w:rFonts w:ascii="Times New Roman" w:hAnsi="Times New Roman" w:cs="Times New Roman"/>
          <w:b/>
        </w:rPr>
      </w:pPr>
      <w:r>
        <w:rPr>
          <w:rFonts w:ascii="Times New Roman" w:hAnsi="Times New Roman" w:cs="Times New Roman"/>
          <w:b/>
          <w:noProof/>
          <w:lang w:eastAsia="it-IT"/>
        </w:rPr>
        <w:drawing>
          <wp:anchor distT="0" distB="0" distL="114300" distR="114300" simplePos="0" relativeHeight="251658240" behindDoc="0" locked="0" layoutInCell="1" allowOverlap="1">
            <wp:simplePos x="0" y="0"/>
            <wp:positionH relativeFrom="column">
              <wp:posOffset>22860</wp:posOffset>
            </wp:positionH>
            <wp:positionV relativeFrom="paragraph">
              <wp:posOffset>122555</wp:posOffset>
            </wp:positionV>
            <wp:extent cx="2181225" cy="1638300"/>
            <wp:effectExtent l="19050" t="0" r="9525" b="0"/>
            <wp:wrapSquare wrapText="bothSides"/>
            <wp:docPr id="1" name="Immagine 1" descr="Risultati immagini per il sepolcro vuoto immagi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il sepolcro vuoto immagini"/>
                    <pic:cNvPicPr>
                      <a:picLocks noChangeAspect="1" noChangeArrowheads="1"/>
                    </pic:cNvPicPr>
                  </pic:nvPicPr>
                  <pic:blipFill>
                    <a:blip r:embed="rId6" cstate="print"/>
                    <a:srcRect/>
                    <a:stretch>
                      <a:fillRect/>
                    </a:stretch>
                  </pic:blipFill>
                  <pic:spPr bwMode="auto">
                    <a:xfrm>
                      <a:off x="0" y="0"/>
                      <a:ext cx="2181225" cy="1638300"/>
                    </a:xfrm>
                    <a:prstGeom prst="rect">
                      <a:avLst/>
                    </a:prstGeom>
                    <a:noFill/>
                    <a:ln w="9525">
                      <a:noFill/>
                      <a:miter lim="800000"/>
                      <a:headEnd/>
                      <a:tailEnd/>
                    </a:ln>
                  </pic:spPr>
                </pic:pic>
              </a:graphicData>
            </a:graphic>
          </wp:anchor>
        </w:drawing>
      </w:r>
      <w:r w:rsidR="000A7501" w:rsidRPr="001E6CC5">
        <w:rPr>
          <w:rFonts w:ascii="Times New Roman" w:hAnsi="Times New Roman" w:cs="Times New Roman"/>
          <w:b/>
        </w:rPr>
        <w:t xml:space="preserve"> </w:t>
      </w:r>
    </w:p>
    <w:p w:rsidR="000A7501" w:rsidRPr="001E6CC5" w:rsidRDefault="000A7501" w:rsidP="000A7501">
      <w:pPr>
        <w:spacing w:after="0" w:line="240" w:lineRule="atLeast"/>
        <w:ind w:left="0" w:right="-1"/>
        <w:rPr>
          <w:rFonts w:ascii="Times New Roman" w:hAnsi="Times New Roman" w:cs="Times New Roman"/>
          <w:i/>
        </w:rPr>
      </w:pPr>
      <w:r w:rsidRPr="001E6CC5">
        <w:rPr>
          <w:rFonts w:ascii="Times New Roman" w:hAnsi="Times New Roman" w:cs="Times New Roman"/>
          <w:i/>
          <w:color w:val="990000"/>
          <w:vertAlign w:val="superscript"/>
        </w:rPr>
        <w:t>41</w:t>
      </w:r>
      <w:r w:rsidRPr="001E6CC5">
        <w:rPr>
          <w:rFonts w:ascii="Times New Roman" w:hAnsi="Times New Roman" w:cs="Times New Roman"/>
          <w:i/>
          <w:color w:val="222222"/>
        </w:rPr>
        <w:t xml:space="preserve">Ora, nel luogo dove era stato crocifisso, vi era un giardino e nel giardino un sepolcro nuovo, nel quale nessuno era stato ancora posto. </w:t>
      </w:r>
      <w:r w:rsidRPr="001E6CC5">
        <w:rPr>
          <w:rFonts w:ascii="Times New Roman" w:hAnsi="Times New Roman" w:cs="Times New Roman"/>
          <w:i/>
          <w:color w:val="990000"/>
          <w:vertAlign w:val="superscript"/>
        </w:rPr>
        <w:t>42</w:t>
      </w:r>
      <w:r w:rsidRPr="001E6CC5">
        <w:rPr>
          <w:rFonts w:ascii="Times New Roman" w:hAnsi="Times New Roman" w:cs="Times New Roman"/>
          <w:i/>
          <w:color w:val="222222"/>
        </w:rPr>
        <w:t>Là dunque, poiché era il giorno della Parasceve dei Giudei e dato che il sepolcro era vicino, posero Gesù (</w:t>
      </w:r>
      <w:proofErr w:type="spellStart"/>
      <w:r w:rsidRPr="001E6CC5">
        <w:rPr>
          <w:rFonts w:ascii="Times New Roman" w:hAnsi="Times New Roman" w:cs="Times New Roman"/>
          <w:i/>
          <w:color w:val="222222"/>
        </w:rPr>
        <w:t>Gv</w:t>
      </w:r>
      <w:proofErr w:type="spellEnd"/>
      <w:r w:rsidRPr="001E6CC5">
        <w:rPr>
          <w:rFonts w:ascii="Times New Roman" w:hAnsi="Times New Roman" w:cs="Times New Roman"/>
          <w:i/>
          <w:color w:val="222222"/>
        </w:rPr>
        <w:t xml:space="preserve"> 19,41-42).</w:t>
      </w:r>
    </w:p>
    <w:p w:rsidR="000A7501" w:rsidRPr="001E6CC5" w:rsidRDefault="000A7501" w:rsidP="000A7501">
      <w:pPr>
        <w:spacing w:after="0" w:line="240" w:lineRule="atLeast"/>
        <w:ind w:left="0" w:right="-1" w:firstLine="708"/>
        <w:rPr>
          <w:rFonts w:ascii="Times New Roman" w:hAnsi="Times New Roman" w:cs="Times New Roman"/>
        </w:rPr>
      </w:pPr>
      <w:r w:rsidRPr="001E6CC5">
        <w:rPr>
          <w:rFonts w:ascii="Times New Roman" w:hAnsi="Times New Roman" w:cs="Times New Roman"/>
        </w:rPr>
        <w:t>Il racconto della Passione, secondo Giovanni (</w:t>
      </w:r>
      <w:proofErr w:type="spellStart"/>
      <w:r w:rsidRPr="001E6CC5">
        <w:rPr>
          <w:rFonts w:ascii="Times New Roman" w:hAnsi="Times New Roman" w:cs="Times New Roman"/>
        </w:rPr>
        <w:t>Gv</w:t>
      </w:r>
      <w:proofErr w:type="spellEnd"/>
      <w:r w:rsidRPr="001E6CC5">
        <w:rPr>
          <w:rFonts w:ascii="Times New Roman" w:hAnsi="Times New Roman" w:cs="Times New Roman"/>
        </w:rPr>
        <w:t xml:space="preserve"> 18-19), termina in un giardino come è iniziato, nel giardino dove era avvenuta la consegna di Gesù nelle mani dei soldati.</w:t>
      </w:r>
    </w:p>
    <w:p w:rsidR="000A7501" w:rsidRPr="001E6CC5" w:rsidRDefault="000A7501" w:rsidP="000A7501">
      <w:pPr>
        <w:spacing w:after="0" w:line="240" w:lineRule="atLeast"/>
        <w:ind w:left="0" w:right="-1" w:firstLine="708"/>
        <w:rPr>
          <w:rFonts w:ascii="Times New Roman" w:hAnsi="Times New Roman" w:cs="Times New Roman"/>
        </w:rPr>
      </w:pPr>
      <w:r w:rsidRPr="001E6CC5">
        <w:rPr>
          <w:rFonts w:ascii="Times New Roman" w:hAnsi="Times New Roman" w:cs="Times New Roman"/>
        </w:rPr>
        <w:t>Il Vangelo non si ferma, però, di fronte al sepolcro chiuso, perché c’è ancora una esperienza da fare, un incontro da vivere: la Risurrezione.</w:t>
      </w:r>
    </w:p>
    <w:p w:rsidR="000A7501" w:rsidRPr="001E6CC5" w:rsidRDefault="000A7501" w:rsidP="000A7501">
      <w:pPr>
        <w:spacing w:after="0" w:line="240" w:lineRule="atLeast"/>
        <w:ind w:left="0" w:right="-1" w:firstLine="708"/>
        <w:rPr>
          <w:rFonts w:ascii="Times New Roman" w:hAnsi="Times New Roman" w:cs="Times New Roman"/>
        </w:rPr>
      </w:pPr>
      <w:r w:rsidRPr="001E6CC5">
        <w:rPr>
          <w:rFonts w:ascii="Times New Roman" w:hAnsi="Times New Roman" w:cs="Times New Roman"/>
        </w:rPr>
        <w:t>Nel Vangelo secondo Giovanni, come nei Vangeli sinottici non abbiamo il racconto della risurrezione di Gesù. Nessun accenno viene fatto per descrivere l’evento, perché gli Apostoli non hanno visto risorgere il Cristo. Hanno visto, invece, il sepolcro vuoto e hanno incontrato il Cristo risorto e di questo danno testimonianza.</w:t>
      </w:r>
    </w:p>
    <w:p w:rsidR="000A7501" w:rsidRPr="001E6CC5" w:rsidRDefault="000A7501" w:rsidP="000A7501">
      <w:pPr>
        <w:spacing w:after="0" w:line="240" w:lineRule="atLeast"/>
        <w:ind w:left="0" w:right="-1" w:firstLine="708"/>
        <w:rPr>
          <w:rFonts w:ascii="Times New Roman" w:hAnsi="Times New Roman" w:cs="Times New Roman"/>
        </w:rPr>
      </w:pPr>
      <w:r w:rsidRPr="001E6CC5">
        <w:rPr>
          <w:rFonts w:ascii="Times New Roman" w:hAnsi="Times New Roman" w:cs="Times New Roman"/>
        </w:rPr>
        <w:t>Il racconto è diverso nei quattro Vangeli; ogni evangelista ce ne trasmette infatti una propria esperienza. Giovanni era il più giovane tra gli Apostoli, sapeva di essere l’ultimo testimone oculare della risurrezione ed allora ha voluto testimoniare, in particolare, il passaggio dalla fede di chi ha visto e creduto, alla fede di chi, senza averlo visto, come noi, crede alla sua Parola.</w:t>
      </w:r>
    </w:p>
    <w:p w:rsidR="000A7501" w:rsidRPr="001E6CC5" w:rsidRDefault="000A7501" w:rsidP="000A7501">
      <w:pPr>
        <w:spacing w:after="0" w:line="240" w:lineRule="atLeast"/>
        <w:ind w:left="0" w:right="-1" w:firstLine="708"/>
        <w:rPr>
          <w:rFonts w:ascii="Times New Roman" w:hAnsi="Times New Roman" w:cs="Times New Roman"/>
        </w:rPr>
      </w:pPr>
      <w:r w:rsidRPr="001E6CC5">
        <w:rPr>
          <w:rFonts w:ascii="Times New Roman" w:hAnsi="Times New Roman" w:cs="Times New Roman"/>
        </w:rPr>
        <w:t xml:space="preserve">Giovanni ci fa entrare nel mistero della risurrezione con gradualità, passando dalle “assenze” (assenza della luce, assenza del corpo di Gesù, assenza di una parola) alle “presenze” (gli angeli, Gesù, i dialoghi), dallo “sgomento” alla “comprensione” degli eventi. </w:t>
      </w:r>
    </w:p>
    <w:p w:rsidR="000A7501" w:rsidRPr="001E6CC5" w:rsidRDefault="000A7501" w:rsidP="000A7501">
      <w:pPr>
        <w:spacing w:after="0" w:line="240" w:lineRule="atLeast"/>
        <w:ind w:left="0" w:right="-1" w:firstLine="708"/>
        <w:jc w:val="left"/>
        <w:rPr>
          <w:rFonts w:ascii="Times New Roman" w:hAnsi="Times New Roman" w:cs="Times New Roman"/>
        </w:rPr>
      </w:pPr>
      <w:r w:rsidRPr="001E6CC5">
        <w:rPr>
          <w:rFonts w:ascii="Times New Roman" w:hAnsi="Times New Roman" w:cs="Times New Roman"/>
        </w:rPr>
        <w:t xml:space="preserve">Nel racconto troviamo dei verbi semplici, ma pieni di significato, che appartengono al vocabolario propriamente giovanneo: </w:t>
      </w:r>
      <w:r w:rsidRPr="001E6CC5">
        <w:rPr>
          <w:rFonts w:ascii="Times New Roman" w:hAnsi="Times New Roman" w:cs="Times New Roman"/>
        </w:rPr>
        <w:br/>
        <w:t>- “venire”: “Venne Gesù..” (non si parla di apparizioni),</w:t>
      </w:r>
      <w:r w:rsidRPr="001E6CC5">
        <w:rPr>
          <w:rFonts w:ascii="Times New Roman" w:hAnsi="Times New Roman" w:cs="Times New Roman"/>
        </w:rPr>
        <w:br/>
        <w:t>- “vedere” : “Ho visto il Signore”, “Abbiamo visto il Signore”,</w:t>
      </w:r>
      <w:r w:rsidRPr="001E6CC5">
        <w:rPr>
          <w:rFonts w:ascii="Times New Roman" w:hAnsi="Times New Roman" w:cs="Times New Roman"/>
        </w:rPr>
        <w:br/>
        <w:t>- “manifestarsi”: “Gesù si manifestava ai discepoli”.</w:t>
      </w:r>
    </w:p>
    <w:p w:rsidR="000A7501" w:rsidRPr="001E6CC5" w:rsidRDefault="000A7501" w:rsidP="000A7501">
      <w:pPr>
        <w:spacing w:after="0" w:line="240" w:lineRule="atLeast"/>
        <w:ind w:left="0" w:right="-1" w:firstLine="708"/>
        <w:rPr>
          <w:rFonts w:ascii="Times New Roman" w:hAnsi="Times New Roman" w:cs="Times New Roman"/>
        </w:rPr>
      </w:pPr>
      <w:r w:rsidRPr="001E6CC5">
        <w:rPr>
          <w:rFonts w:ascii="Times New Roman" w:hAnsi="Times New Roman" w:cs="Times New Roman"/>
        </w:rPr>
        <w:t>Il racconto giovanneo, il più lungo dei Vangeli, abbraccia ben due capitoli, 20 e 21.</w:t>
      </w:r>
      <w:r w:rsidRPr="001E6CC5">
        <w:rPr>
          <w:rFonts w:ascii="Times New Roman" w:hAnsi="Times New Roman" w:cs="Times New Roman"/>
        </w:rPr>
        <w:br/>
        <w:t xml:space="preserve">Il capitolo 20 narra diversi incontri dei discepoli con il Signore risorto, incontri che mettono in luce differenti reazioni di fede. E’ l’ultimo capitolo del Vangelo secondo Giovanni. </w:t>
      </w:r>
    </w:p>
    <w:p w:rsidR="000A7501" w:rsidRPr="001E6CC5" w:rsidRDefault="000A7501" w:rsidP="000A7501">
      <w:pPr>
        <w:spacing w:after="0" w:line="240" w:lineRule="atLeast"/>
        <w:ind w:left="0" w:right="-1" w:firstLine="708"/>
        <w:rPr>
          <w:rFonts w:ascii="Times New Roman" w:hAnsi="Times New Roman" w:cs="Times New Roman"/>
        </w:rPr>
      </w:pPr>
      <w:r w:rsidRPr="001E6CC5">
        <w:rPr>
          <w:rFonts w:ascii="Times New Roman" w:hAnsi="Times New Roman" w:cs="Times New Roman"/>
        </w:rPr>
        <w:t xml:space="preserve">Il capitolo 21 “Altri racconti pasquali” è probabilmente un’aggiunta della comunità giovannea, dopo la morte dell’apostolo, in particolare per sottolineare nuovi episodi significativi. Vi troviamo due parti: il racconto della pesca che termina con un pasto (è la terza manifestazione di Gesù) e poi il dialogo tra Gesù e Simon Pietro su Pietro stesso e sull’ ”altro” discepolo. Questi ultimi episodi si svolgono in Galilea sul mare di Tiberiade (come in Marco e Matteo), mentre le scene del capitolo 20 avvengono a Gerusalemme (come in Luca). Ciò evidenzia che Giovanni non si discosta dalla tradizione sinottica. </w:t>
      </w:r>
    </w:p>
    <w:p w:rsidR="000A7501" w:rsidRPr="001E6CC5" w:rsidRDefault="000A7501" w:rsidP="000A7501">
      <w:pPr>
        <w:spacing w:after="0" w:line="240" w:lineRule="atLeast"/>
        <w:ind w:left="0" w:right="-1" w:firstLine="708"/>
        <w:rPr>
          <w:rFonts w:ascii="Times New Roman" w:hAnsi="Times New Roman" w:cs="Times New Roman"/>
        </w:rPr>
      </w:pPr>
      <w:r w:rsidRPr="001E6CC5">
        <w:rPr>
          <w:rFonts w:ascii="Times New Roman" w:hAnsi="Times New Roman" w:cs="Times New Roman"/>
        </w:rPr>
        <w:t>Cominciamo con il meditare il capitolo 20,1-31 che possiamo dividere in tre grandi scene:</w:t>
      </w:r>
    </w:p>
    <w:p w:rsidR="000A7501" w:rsidRPr="001E6CC5" w:rsidRDefault="000A7501" w:rsidP="000A7501">
      <w:pPr>
        <w:spacing w:after="0" w:line="240" w:lineRule="atLeast"/>
        <w:ind w:left="0" w:right="-1"/>
        <w:rPr>
          <w:rFonts w:ascii="Times New Roman" w:eastAsia="Times New Roman" w:hAnsi="Times New Roman" w:cs="Times New Roman"/>
          <w:lang w:eastAsia="it-IT"/>
        </w:rPr>
      </w:pPr>
      <w:r w:rsidRPr="001E6CC5">
        <w:rPr>
          <w:rFonts w:ascii="Times New Roman" w:eastAsia="Times New Roman" w:hAnsi="Times New Roman" w:cs="Times New Roman"/>
          <w:lang w:eastAsia="it-IT"/>
        </w:rPr>
        <w:t xml:space="preserve">♦ la visita al sepolcro nel mattino di Pasqua e la scoperta della tomba vuota – versi 1-10; </w:t>
      </w:r>
      <w:r w:rsidRPr="001E6CC5">
        <w:rPr>
          <w:rFonts w:ascii="Times New Roman" w:eastAsia="Times New Roman" w:hAnsi="Times New Roman" w:cs="Times New Roman"/>
          <w:lang w:eastAsia="it-IT"/>
        </w:rPr>
        <w:br/>
        <w:t xml:space="preserve">♦ l’incontro di Maria di </w:t>
      </w:r>
      <w:proofErr w:type="spellStart"/>
      <w:r w:rsidRPr="001E6CC5">
        <w:rPr>
          <w:rFonts w:ascii="Times New Roman" w:eastAsia="Times New Roman" w:hAnsi="Times New Roman" w:cs="Times New Roman"/>
          <w:lang w:eastAsia="it-IT"/>
        </w:rPr>
        <w:t>Màgdala</w:t>
      </w:r>
      <w:proofErr w:type="spellEnd"/>
      <w:r w:rsidRPr="001E6CC5">
        <w:rPr>
          <w:rFonts w:ascii="Times New Roman" w:eastAsia="Times New Roman" w:hAnsi="Times New Roman" w:cs="Times New Roman"/>
          <w:lang w:eastAsia="it-IT"/>
        </w:rPr>
        <w:t xml:space="preserve"> con il Risorto davanti al sepolcro – versi 11-18; </w:t>
      </w:r>
      <w:r w:rsidRPr="001E6CC5">
        <w:rPr>
          <w:rFonts w:ascii="Times New Roman" w:eastAsia="Times New Roman" w:hAnsi="Times New Roman" w:cs="Times New Roman"/>
          <w:lang w:eastAsia="it-IT"/>
        </w:rPr>
        <w:br/>
        <w:t>♦ le due apparizioni del Risorto ai discepoli nel cenacolo, la sera dello stesso giorno di  Pasqua senza Tommaso e otto giorni dopo, presente Tommaso – versi 19-29.</w:t>
      </w:r>
    </w:p>
    <w:p w:rsidR="000A7501" w:rsidRPr="001E6CC5" w:rsidRDefault="000A7501" w:rsidP="000A7501">
      <w:pPr>
        <w:spacing w:after="0" w:line="240" w:lineRule="atLeast"/>
        <w:ind w:left="0" w:right="-1" w:firstLine="708"/>
        <w:rPr>
          <w:rFonts w:ascii="Times New Roman" w:eastAsia="Times New Roman" w:hAnsi="Times New Roman" w:cs="Times New Roman"/>
          <w:lang w:eastAsia="it-IT"/>
        </w:rPr>
      </w:pPr>
      <w:r w:rsidRPr="001E6CC5">
        <w:rPr>
          <w:rFonts w:ascii="Times New Roman" w:eastAsia="Times New Roman" w:hAnsi="Times New Roman" w:cs="Times New Roman"/>
          <w:lang w:eastAsia="it-IT"/>
        </w:rPr>
        <w:t>Con gli ultimi due versi (30 e 31) si conclude (“prima conclusione”) il Vangelo giovanneo.</w:t>
      </w:r>
    </w:p>
    <w:p w:rsidR="000A7501" w:rsidRPr="001E6CC5" w:rsidRDefault="000A7501" w:rsidP="000A7501">
      <w:pPr>
        <w:spacing w:after="0" w:line="240" w:lineRule="atLeast"/>
        <w:ind w:left="0" w:right="-1" w:firstLine="708"/>
        <w:rPr>
          <w:rFonts w:ascii="Times New Roman" w:eastAsia="Times New Roman" w:hAnsi="Times New Roman" w:cs="Times New Roman"/>
          <w:lang w:eastAsia="it-IT"/>
        </w:rPr>
      </w:pPr>
      <w:r w:rsidRPr="001E6CC5">
        <w:rPr>
          <w:rFonts w:ascii="Times New Roman" w:eastAsia="Times New Roman" w:hAnsi="Times New Roman" w:cs="Times New Roman"/>
          <w:lang w:eastAsia="it-IT"/>
        </w:rPr>
        <w:t>Ogni scena potrebbe essere una conclusione, ma Giovanni aggiunge una scena successiva per poterci dire qualcosa di più ogni volta.</w:t>
      </w:r>
    </w:p>
    <w:p w:rsidR="000A7501" w:rsidRPr="001E6CC5" w:rsidRDefault="000A7501" w:rsidP="000A7501">
      <w:pPr>
        <w:spacing w:after="0" w:line="240" w:lineRule="atLeast"/>
        <w:ind w:left="0" w:right="-1" w:firstLine="708"/>
        <w:rPr>
          <w:rFonts w:ascii="Times New Roman" w:eastAsia="Times New Roman" w:hAnsi="Times New Roman" w:cs="Times New Roman"/>
          <w:lang w:eastAsia="it-IT"/>
        </w:rPr>
      </w:pPr>
    </w:p>
    <w:sectPr w:rsidR="000A7501" w:rsidRPr="001E6CC5" w:rsidSect="00BA62E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4EB7" w:rsidRDefault="00364EB7" w:rsidP="000A7501">
      <w:pPr>
        <w:spacing w:after="0" w:line="240" w:lineRule="auto"/>
      </w:pPr>
      <w:r>
        <w:separator/>
      </w:r>
    </w:p>
  </w:endnote>
  <w:endnote w:type="continuationSeparator" w:id="0">
    <w:p w:rsidR="00364EB7" w:rsidRDefault="00364EB7" w:rsidP="000A75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4EB7" w:rsidRDefault="00364EB7" w:rsidP="000A7501">
      <w:pPr>
        <w:spacing w:after="0" w:line="240" w:lineRule="auto"/>
      </w:pPr>
      <w:r>
        <w:separator/>
      </w:r>
    </w:p>
  </w:footnote>
  <w:footnote w:type="continuationSeparator" w:id="0">
    <w:p w:rsidR="00364EB7" w:rsidRDefault="00364EB7" w:rsidP="000A750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0A7501"/>
    <w:rsid w:val="000A7501"/>
    <w:rsid w:val="001E6CC5"/>
    <w:rsid w:val="00364EB7"/>
    <w:rsid w:val="004207F6"/>
    <w:rsid w:val="00BA62E7"/>
    <w:rsid w:val="00D977E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A7501"/>
    <w:pPr>
      <w:ind w:left="709" w:right="709"/>
      <w:jc w:val="both"/>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0A7501"/>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0A7501"/>
    <w:rPr>
      <w:sz w:val="20"/>
      <w:szCs w:val="20"/>
    </w:rPr>
  </w:style>
  <w:style w:type="character" w:styleId="Rimandonotaapidipagina">
    <w:name w:val="footnote reference"/>
    <w:basedOn w:val="Carpredefinitoparagrafo"/>
    <w:uiPriority w:val="99"/>
    <w:semiHidden/>
    <w:unhideWhenUsed/>
    <w:rsid w:val="000A7501"/>
    <w:rPr>
      <w:vertAlign w:val="superscript"/>
    </w:rPr>
  </w:style>
  <w:style w:type="paragraph" w:styleId="Testofumetto">
    <w:name w:val="Balloon Text"/>
    <w:basedOn w:val="Normale"/>
    <w:link w:val="TestofumettoCarattere"/>
    <w:uiPriority w:val="99"/>
    <w:semiHidden/>
    <w:unhideWhenUsed/>
    <w:rsid w:val="001E6CC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E6CC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527</Words>
  <Characters>3010</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2018-09-19T08:38:00Z</dcterms:created>
  <dcterms:modified xsi:type="dcterms:W3CDTF">2018-09-19T08:38:00Z</dcterms:modified>
</cp:coreProperties>
</file>